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C9A" w:rsidRPr="004A6E52" w:rsidRDefault="00391C9A" w:rsidP="00391C9A">
      <w:pPr>
        <w:rPr>
          <w:rFonts w:asciiTheme="majorBidi" w:hAnsiTheme="majorBidi" w:cstheme="majorBidi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Deuxième  année </w:t>
      </w:r>
    </w:p>
    <w:p w:rsidR="00391C9A" w:rsidRPr="004A6E52" w:rsidRDefault="00391C9A" w:rsidP="00391C9A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</w:t>
      </w:r>
      <w:r w:rsidRPr="004A6E52">
        <w:rPr>
          <w:rFonts w:ascii="Times New Roman" w:hAnsi="Times New Roman" w:cs="Times New Roman"/>
          <w:b/>
          <w:bCs/>
          <w:sz w:val="36"/>
          <w:szCs w:val="36"/>
          <w:lang w:val="fr-FR"/>
        </w:rPr>
        <w:t xml:space="preserve"> </w:t>
      </w:r>
      <w:r w:rsidRPr="004A6E52">
        <w:rPr>
          <w:rFonts w:ascii="Times New Roman" w:hAnsi="Times New Roman" w:cs="Times New Roman"/>
          <w:b/>
          <w:bCs/>
          <w:sz w:val="36"/>
          <w:szCs w:val="36"/>
          <w:u w:val="single"/>
          <w:lang w:val="fr-FR"/>
        </w:rPr>
        <w:t xml:space="preserve"> Rubriques psychomotrices</w:t>
      </w:r>
      <w:r w:rsidRPr="004A6E52">
        <w:rPr>
          <w:rFonts w:ascii="Times New Roman" w:hAnsi="Times New Roman" w:cs="Times New Roman"/>
          <w:b/>
          <w:bCs/>
          <w:sz w:val="36"/>
          <w:szCs w:val="36"/>
          <w:lang w:val="fr-FR"/>
        </w:rPr>
        <w:t xml:space="preserve"> 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60h</w:t>
      </w:r>
    </w:p>
    <w:p w:rsidR="00765E47" w:rsidRPr="009D7676" w:rsidRDefault="00765E47" w:rsidP="00765E47">
      <w:pPr>
        <w:spacing w:after="0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9D7676">
        <w:rPr>
          <w:rFonts w:asciiTheme="majorBidi" w:hAnsiTheme="majorBidi" w:cstheme="majorBidi"/>
          <w:sz w:val="28"/>
          <w:szCs w:val="28"/>
        </w:rPr>
        <w:t>Structuration spatio –temporelle:</w:t>
      </w:r>
    </w:p>
    <w:p w:rsidR="00765E47" w:rsidRPr="009D7676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9D7676">
        <w:rPr>
          <w:rFonts w:asciiTheme="majorBidi" w:hAnsiTheme="majorBidi" w:cstheme="majorBidi"/>
          <w:sz w:val="28"/>
          <w:szCs w:val="28"/>
        </w:rPr>
        <w:t>Evolution de l’espace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 xml:space="preserve">Application: Préparation d’une séance (fiche) </w:t>
      </w:r>
    </w:p>
    <w:p w:rsidR="00765E47" w:rsidRPr="009D7676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9D7676">
        <w:rPr>
          <w:rFonts w:asciiTheme="majorBidi" w:hAnsiTheme="majorBidi" w:cstheme="majorBidi"/>
          <w:sz w:val="28"/>
          <w:szCs w:val="28"/>
        </w:rPr>
        <w:t>Composantes du temps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 xml:space="preserve">Application: Préparation d’une séance (fiche) </w:t>
      </w:r>
    </w:p>
    <w:p w:rsidR="00765E47" w:rsidRPr="009D7676" w:rsidRDefault="00765E47" w:rsidP="00765E47">
      <w:pPr>
        <w:numPr>
          <w:ilvl w:val="0"/>
          <w:numId w:val="20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9D7676">
        <w:rPr>
          <w:rFonts w:asciiTheme="majorBidi" w:hAnsiTheme="majorBidi" w:cstheme="majorBidi"/>
          <w:sz w:val="28"/>
          <w:szCs w:val="28"/>
        </w:rPr>
        <w:t>La latéralité:</w:t>
      </w:r>
    </w:p>
    <w:p w:rsidR="00765E47" w:rsidRPr="009D7676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9D7676">
        <w:rPr>
          <w:rFonts w:asciiTheme="majorBidi" w:hAnsiTheme="majorBidi" w:cstheme="majorBidi"/>
          <w:sz w:val="28"/>
          <w:szCs w:val="28"/>
        </w:rPr>
        <w:t xml:space="preserve">Genres de latéralité 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>Application: Préparation d’une séance (fiche) Exécution pratique sans ou avec matériel</w:t>
      </w:r>
    </w:p>
    <w:p w:rsidR="00765E47" w:rsidRPr="009D7676" w:rsidRDefault="00765E47" w:rsidP="00765E47">
      <w:pPr>
        <w:numPr>
          <w:ilvl w:val="0"/>
          <w:numId w:val="20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9D7676">
        <w:rPr>
          <w:rFonts w:asciiTheme="majorBidi" w:hAnsiTheme="majorBidi" w:cstheme="majorBidi"/>
          <w:sz w:val="28"/>
          <w:szCs w:val="28"/>
        </w:rPr>
        <w:t>Graphomotricité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>Lien entre la lecture et la psychomotricité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>Lien entre l’écriture et la psychomotricité</w:t>
      </w:r>
    </w:p>
    <w:p w:rsidR="00765E47" w:rsidRPr="00765E47" w:rsidRDefault="00765E47" w:rsidP="00765E47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765E47">
        <w:rPr>
          <w:rFonts w:asciiTheme="majorBidi" w:hAnsiTheme="majorBidi" w:cstheme="majorBidi"/>
          <w:sz w:val="28"/>
          <w:szCs w:val="28"/>
          <w:lang w:val="fr-CA"/>
        </w:rPr>
        <w:t>Lien entre les mathématiques et la psychomotricité</w:t>
      </w:r>
    </w:p>
    <w:p w:rsidR="009F1D4A" w:rsidRPr="00765E47" w:rsidRDefault="009F1D4A" w:rsidP="00765E47">
      <w:pPr>
        <w:pStyle w:val="ListParagraph"/>
        <w:ind w:left="1080"/>
        <w:rPr>
          <w:lang w:val="fr-CA" w:bidi="ar-LB"/>
        </w:rPr>
      </w:pPr>
    </w:p>
    <w:sectPr w:rsidR="009F1D4A" w:rsidRPr="00765E47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AEB" w:rsidRDefault="001C7AEB" w:rsidP="00147F0E">
      <w:pPr>
        <w:spacing w:after="0" w:line="240" w:lineRule="auto"/>
      </w:pPr>
      <w:r>
        <w:separator/>
      </w:r>
    </w:p>
  </w:endnote>
  <w:endnote w:type="continuationSeparator" w:id="0">
    <w:p w:rsidR="001C7AEB" w:rsidRDefault="001C7AEB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BB3C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E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AEB" w:rsidRDefault="001C7AEB" w:rsidP="00147F0E">
      <w:pPr>
        <w:spacing w:after="0" w:line="240" w:lineRule="auto"/>
      </w:pPr>
      <w:r>
        <w:separator/>
      </w:r>
    </w:p>
  </w:footnote>
  <w:footnote w:type="continuationSeparator" w:id="0">
    <w:p w:rsidR="001C7AEB" w:rsidRDefault="001C7AEB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C7AEB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65E47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3CA6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8C59BC-1AF3-4E2F-B8B5-D390113B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D7860-3DA6-44DB-98A9-9039497A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2020-09-28T08:53:00Z</dcterms:modified>
</cp:coreProperties>
</file>